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4276F1" w:rsidRPr="001055E7" w14:paraId="226A60FF" w14:textId="77777777" w:rsidTr="009E781D"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5D3C8" w14:textId="752EE29E" w:rsidR="004276F1" w:rsidRPr="001055E7" w:rsidRDefault="004276F1" w:rsidP="009E781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55E7">
              <w:rPr>
                <w:rFonts w:ascii="Arial Narrow" w:hAnsi="Arial Narrow"/>
                <w:b/>
                <w:bCs/>
                <w:sz w:val="24"/>
                <w:szCs w:val="24"/>
              </w:rPr>
              <w:t>DECRETO 560 DEL 15 DE ABRIL DE 2020</w:t>
            </w:r>
          </w:p>
        </w:tc>
      </w:tr>
      <w:tr w:rsidR="004276F1" w:rsidRPr="001055E7" w14:paraId="3DA9AE7E" w14:textId="77777777" w:rsidTr="009E781D"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7E499" w14:textId="085649B6" w:rsidR="004276F1" w:rsidRPr="001055E7" w:rsidRDefault="004276F1" w:rsidP="009E781D">
            <w:pPr>
              <w:jc w:val="both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1055E7">
              <w:rPr>
                <w:rFonts w:ascii="Arial Narrow" w:hAnsi="Arial Narrow"/>
                <w:i/>
                <w:iCs/>
                <w:sz w:val="24"/>
                <w:szCs w:val="24"/>
                <w:lang w:val="es-ES"/>
              </w:rPr>
              <w:t>“</w:t>
            </w:r>
            <w:r w:rsidRPr="001055E7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Por el cual se adoptan medidas transitorias especiales en materia de procesos de insolvencia, en el marco del Estado de Emergencia, Social y Ecológica </w:t>
            </w:r>
            <w:r w:rsidRPr="001055E7">
              <w:rPr>
                <w:rFonts w:ascii="Arial Narrow" w:hAnsi="Arial Narrow"/>
                <w:i/>
                <w:iCs/>
                <w:sz w:val="24"/>
                <w:szCs w:val="24"/>
                <w:lang w:val="es-ES"/>
              </w:rPr>
              <w:t>"</w:t>
            </w:r>
          </w:p>
        </w:tc>
      </w:tr>
    </w:tbl>
    <w:p w14:paraId="1E7F2952" w14:textId="77777777" w:rsidR="004276F1" w:rsidRPr="001055E7" w:rsidRDefault="004276F1" w:rsidP="004276F1">
      <w:pPr>
        <w:jc w:val="both"/>
        <w:rPr>
          <w:rFonts w:ascii="Arial Narrow" w:hAnsi="Arial Narrow"/>
          <w:sz w:val="24"/>
          <w:szCs w:val="24"/>
        </w:rPr>
      </w:pPr>
    </w:p>
    <w:p w14:paraId="61B88DAB" w14:textId="0D4954C7" w:rsidR="0034157F" w:rsidRPr="001055E7" w:rsidRDefault="0034157F" w:rsidP="004276F1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</w:pPr>
      <w:r w:rsidRPr="001055E7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>Ley 1126 de 2006</w:t>
      </w:r>
    </w:p>
    <w:p w14:paraId="512F6EED" w14:textId="4AA0C056" w:rsidR="0066394C" w:rsidRPr="001055E7" w:rsidRDefault="0034157F" w:rsidP="0066394C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1055E7">
        <w:rPr>
          <w:rFonts w:ascii="Arial Narrow" w:hAnsi="Arial Narrow"/>
          <w:color w:val="000000" w:themeColor="text1"/>
          <w:sz w:val="24"/>
          <w:szCs w:val="24"/>
        </w:rPr>
        <w:t xml:space="preserve">Esta normatividad </w:t>
      </w:r>
      <w:r w:rsidRPr="001055E7">
        <w:rPr>
          <w:rFonts w:ascii="Arial Narrow" w:hAnsi="Arial Narrow" w:cs="Arial"/>
          <w:color w:val="000000" w:themeColor="text1"/>
          <w:sz w:val="24"/>
          <w:szCs w:val="24"/>
        </w:rPr>
        <w:t>establece el Régimen de Insolvencia Empresarial en la</w:t>
      </w:r>
      <w:r w:rsidR="00BD7B15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 Colombia, tramite que </w:t>
      </w:r>
      <w:r w:rsidR="0066394C" w:rsidRPr="001055E7">
        <w:rPr>
          <w:rFonts w:ascii="Arial Narrow" w:hAnsi="Arial Narrow" w:cs="Arial"/>
          <w:color w:val="000000" w:themeColor="text1"/>
          <w:sz w:val="24"/>
          <w:szCs w:val="24"/>
        </w:rPr>
        <w:t>tiene por objeto la protección del crédito</w:t>
      </w:r>
      <w:r w:rsidR="00555173">
        <w:rPr>
          <w:rFonts w:ascii="Arial Narrow" w:hAnsi="Arial Narrow" w:cs="Arial"/>
          <w:color w:val="000000" w:themeColor="text1"/>
          <w:sz w:val="24"/>
          <w:szCs w:val="24"/>
        </w:rPr>
        <w:t>,</w:t>
      </w:r>
      <w:r w:rsidR="0066394C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 la recuperación y conservación de la empresa como unidad de explotación económica y fuente generadora de empleo</w:t>
      </w:r>
      <w:r w:rsidR="0066394C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, </w:t>
      </w:r>
      <w:r w:rsidR="0066394C" w:rsidRPr="001055E7">
        <w:rPr>
          <w:rFonts w:ascii="Arial Narrow" w:hAnsi="Arial Narrow" w:cs="Arial"/>
          <w:color w:val="000000" w:themeColor="text1"/>
          <w:sz w:val="24"/>
          <w:szCs w:val="24"/>
        </w:rPr>
        <w:t>a través de los procesos de reorganización y de liquidación judicial</w:t>
      </w:r>
      <w:r w:rsidR="0066394C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. Para dar inicio a este proceso la Ley contempla unos supuestos de admisibilidad o requisitos para dar inicio al proceso de reorganización, entre estos encontramos que la persona </w:t>
      </w:r>
      <w:r w:rsidR="0066394C" w:rsidRPr="001055E7">
        <w:rPr>
          <w:rFonts w:ascii="Arial Narrow" w:hAnsi="Arial Narrow" w:cs="Arial"/>
          <w:color w:val="000000" w:themeColor="text1"/>
          <w:sz w:val="24"/>
          <w:szCs w:val="24"/>
        </w:rPr>
        <w:t>Incumpla el pago por más de noventa (90) días de dos (2) o más obligaciones a favor de dos (2) o más acreedores, contraídas en desarrollo de su actividad, o tenga por lo menos dos (2) demandas de ejecución presentadas por dos (2) o más acreedores para el pago de obligaciones. En cualquier caso, el valor acumulado de las obligaciones en cuestión deberá representar no menos del diez por ciento (10%) del pasivo total a cargo del deudor a la fecha de los estados financieros de la solicitud, de conformidad con lo establecido para el efecto en la presente ley.</w:t>
      </w:r>
      <w:r w:rsidR="0066394C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555173">
        <w:rPr>
          <w:rFonts w:ascii="Arial Narrow" w:hAnsi="Arial Narrow" w:cs="Arial"/>
          <w:color w:val="000000" w:themeColor="text1"/>
          <w:sz w:val="24"/>
          <w:szCs w:val="24"/>
        </w:rPr>
        <w:t>Que haya una i</w:t>
      </w:r>
      <w:r w:rsidR="0066394C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ncapacidad de pago inminente. </w:t>
      </w:r>
      <w:r w:rsidR="00555173">
        <w:rPr>
          <w:rFonts w:ascii="Arial Narrow" w:hAnsi="Arial Narrow" w:cs="Arial"/>
          <w:color w:val="000000" w:themeColor="text1"/>
          <w:sz w:val="24"/>
          <w:szCs w:val="24"/>
        </w:rPr>
        <w:t>Para lo cual e</w:t>
      </w:r>
      <w:r w:rsidR="0066394C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l deudor estará en </w:t>
      </w:r>
      <w:r w:rsidR="00555173">
        <w:rPr>
          <w:rFonts w:ascii="Arial Narrow" w:hAnsi="Arial Narrow" w:cs="Arial"/>
          <w:color w:val="000000" w:themeColor="text1"/>
          <w:sz w:val="24"/>
          <w:szCs w:val="24"/>
        </w:rPr>
        <w:t xml:space="preserve">esta </w:t>
      </w:r>
      <w:r w:rsidR="0066394C" w:rsidRPr="001055E7">
        <w:rPr>
          <w:rFonts w:ascii="Arial Narrow" w:hAnsi="Arial Narrow" w:cs="Arial"/>
          <w:color w:val="000000" w:themeColor="text1"/>
          <w:sz w:val="24"/>
          <w:szCs w:val="24"/>
        </w:rPr>
        <w:t>situación de incapacidad de pago inminente, cuando acredite la existencia de circunstancias en el respectivo mercado o al interior de su organización o estructura, que afecten o razonablemente puedan afectar en forma grave, el cumplimiento normal de sus obligaciones, con un vencimiento igual o inferior a un año.</w:t>
      </w:r>
    </w:p>
    <w:p w14:paraId="46D9934F" w14:textId="4AAE7BD9" w:rsidR="00346853" w:rsidRPr="001055E7" w:rsidRDefault="00F92F50" w:rsidP="007E61A7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Ante la importancia de esta normatividad y la grave </w:t>
      </w:r>
      <w:r w:rsidR="00383493" w:rsidRPr="001055E7">
        <w:rPr>
          <w:rFonts w:ascii="Arial Narrow" w:hAnsi="Arial Narrow" w:cs="Arial"/>
          <w:color w:val="000000" w:themeColor="text1"/>
          <w:sz w:val="24"/>
          <w:szCs w:val="24"/>
        </w:rPr>
        <w:t>situación</w:t>
      </w:r>
      <w:r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 económica </w:t>
      </w:r>
      <w:r w:rsidR="00383493" w:rsidRPr="001055E7">
        <w:rPr>
          <w:rFonts w:ascii="Arial Narrow" w:hAnsi="Arial Narrow" w:cs="Arial"/>
          <w:color w:val="000000" w:themeColor="text1"/>
          <w:sz w:val="24"/>
          <w:szCs w:val="24"/>
        </w:rPr>
        <w:t>derivadas</w:t>
      </w:r>
      <w:r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 de las medidas de aislamiento y suspensión de un sin </w:t>
      </w:r>
      <w:r w:rsidR="00555173" w:rsidRPr="001055E7">
        <w:rPr>
          <w:rFonts w:ascii="Arial Narrow" w:hAnsi="Arial Narrow" w:cs="Arial"/>
          <w:color w:val="000000" w:themeColor="text1"/>
          <w:sz w:val="24"/>
          <w:szCs w:val="24"/>
        </w:rPr>
        <w:t>número</w:t>
      </w:r>
      <w:r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 de actividades comerciales con ocasión de la declaratoria de emergencia sanitaria, económica, social y </w:t>
      </w:r>
      <w:r w:rsidR="00383493" w:rsidRPr="001055E7">
        <w:rPr>
          <w:rFonts w:ascii="Arial Narrow" w:hAnsi="Arial Narrow" w:cs="Arial"/>
          <w:color w:val="000000" w:themeColor="text1"/>
          <w:sz w:val="24"/>
          <w:szCs w:val="24"/>
        </w:rPr>
        <w:t>ecológica</w:t>
      </w:r>
      <w:r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 derivada del COVID – 19</w:t>
      </w:r>
      <w:r w:rsidR="004A45DF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, se expide el Decreto Legislativo 560 del 15 de abril de 2020, por medio del cual se adoptan medidas transitorias especiales frente a los procesos de insolvencia, y que tiene por objeto mitigar la </w:t>
      </w:r>
      <w:r w:rsidR="00383493" w:rsidRPr="001055E7">
        <w:rPr>
          <w:rFonts w:ascii="Arial Narrow" w:hAnsi="Arial Narrow" w:cs="Arial"/>
          <w:color w:val="000000" w:themeColor="text1"/>
          <w:sz w:val="24"/>
          <w:szCs w:val="24"/>
        </w:rPr>
        <w:t>exención</w:t>
      </w:r>
      <w:r w:rsidR="004A45DF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 de los efectos sobre las empresas afectadas, con el fin de conservar y recuperar la empresa como unidad de explotación </w:t>
      </w:r>
      <w:r w:rsidR="00383493" w:rsidRPr="001055E7">
        <w:rPr>
          <w:rFonts w:ascii="Arial Narrow" w:hAnsi="Arial Narrow" w:cs="Arial"/>
          <w:color w:val="000000" w:themeColor="text1"/>
          <w:sz w:val="24"/>
          <w:szCs w:val="24"/>
        </w:rPr>
        <w:t>económica</w:t>
      </w:r>
      <w:r w:rsidR="004A45DF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 y fuente generadora de empleo. Por ello se han determinado </w:t>
      </w:r>
      <w:r w:rsidR="00346853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varias características de mayor acceso a los empresarios que se encuentren en esta </w:t>
      </w:r>
      <w:r w:rsidR="00383493" w:rsidRPr="001055E7">
        <w:rPr>
          <w:rFonts w:ascii="Arial Narrow" w:hAnsi="Arial Narrow" w:cs="Arial"/>
          <w:color w:val="000000" w:themeColor="text1"/>
          <w:sz w:val="24"/>
          <w:szCs w:val="24"/>
        </w:rPr>
        <w:t>situación</w:t>
      </w:r>
      <w:r w:rsidR="00346853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 y que se haya derivado como consecuencia de la </w:t>
      </w:r>
      <w:r w:rsidR="00383493" w:rsidRPr="001055E7">
        <w:rPr>
          <w:rFonts w:ascii="Arial Narrow" w:hAnsi="Arial Narrow" w:cs="Arial"/>
          <w:color w:val="000000" w:themeColor="text1"/>
          <w:sz w:val="24"/>
          <w:szCs w:val="24"/>
        </w:rPr>
        <w:t>declaratoria</w:t>
      </w:r>
      <w:r w:rsidR="00346853" w:rsidRPr="001055E7">
        <w:rPr>
          <w:rFonts w:ascii="Arial Narrow" w:hAnsi="Arial Narrow" w:cs="Arial"/>
          <w:color w:val="000000" w:themeColor="text1"/>
          <w:sz w:val="24"/>
          <w:szCs w:val="24"/>
        </w:rPr>
        <w:t xml:space="preserve"> de estado de emergencia mediante decreto 417 de 17 de mar</w:t>
      </w:r>
      <w:r w:rsidR="00555173">
        <w:rPr>
          <w:rFonts w:ascii="Arial Narrow" w:hAnsi="Arial Narrow" w:cs="Arial"/>
          <w:color w:val="000000" w:themeColor="text1"/>
          <w:sz w:val="24"/>
          <w:szCs w:val="24"/>
        </w:rPr>
        <w:t>z</w:t>
      </w:r>
      <w:r w:rsidR="00346853" w:rsidRPr="001055E7">
        <w:rPr>
          <w:rFonts w:ascii="Arial Narrow" w:hAnsi="Arial Narrow" w:cs="Arial"/>
          <w:color w:val="000000" w:themeColor="text1"/>
          <w:sz w:val="24"/>
          <w:szCs w:val="24"/>
        </w:rPr>
        <w:t>o de 2020</w:t>
      </w:r>
      <w:r w:rsidR="00140DF1" w:rsidRPr="001055E7">
        <w:rPr>
          <w:rFonts w:ascii="Arial Narrow" w:hAnsi="Arial Narrow" w:cs="Arial"/>
          <w:color w:val="000000" w:themeColor="text1"/>
          <w:sz w:val="24"/>
          <w:szCs w:val="24"/>
        </w:rPr>
        <w:t>, entre las cuales se encuentra:</w:t>
      </w:r>
    </w:p>
    <w:p w14:paraId="0C8AA39B" w14:textId="04D095FD" w:rsidR="001055E7" w:rsidRPr="001055E7" w:rsidRDefault="00140DF1" w:rsidP="00140DF1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1055E7">
        <w:rPr>
          <w:rFonts w:ascii="Arial Narrow" w:hAnsi="Arial Narrow"/>
          <w:b/>
          <w:bCs/>
          <w:sz w:val="24"/>
          <w:szCs w:val="24"/>
        </w:rPr>
        <w:t>Acceso expedito a los mecanismos reorganización</w:t>
      </w:r>
      <w:r w:rsidRPr="001055E7">
        <w:rPr>
          <w:rFonts w:ascii="Arial Narrow" w:hAnsi="Arial Narrow"/>
          <w:b/>
          <w:bCs/>
          <w:sz w:val="24"/>
          <w:szCs w:val="24"/>
        </w:rPr>
        <w:t>:</w:t>
      </w:r>
      <w:r w:rsidRPr="001055E7">
        <w:rPr>
          <w:rFonts w:ascii="Arial Narrow" w:hAnsi="Arial Narrow"/>
          <w:sz w:val="24"/>
          <w:szCs w:val="24"/>
        </w:rPr>
        <w:t xml:space="preserve"> Celeridad frente a las solicitudes de acceso a los mecanismos de reorganización, las cuales deberán tramitarse de manera expedita por las autoridades competentes</w:t>
      </w:r>
      <w:r w:rsidR="00EA45EC" w:rsidRPr="001055E7">
        <w:rPr>
          <w:rFonts w:ascii="Arial Narrow" w:hAnsi="Arial Narrow"/>
          <w:sz w:val="24"/>
          <w:szCs w:val="24"/>
        </w:rPr>
        <w:t xml:space="preserve">, </w:t>
      </w:r>
      <w:r w:rsidR="00263DBC" w:rsidRPr="001055E7">
        <w:rPr>
          <w:rFonts w:ascii="Arial Narrow" w:hAnsi="Arial Narrow"/>
          <w:sz w:val="24"/>
          <w:szCs w:val="24"/>
        </w:rPr>
        <w:t>así</w:t>
      </w:r>
      <w:r w:rsidR="00EA45EC" w:rsidRPr="001055E7">
        <w:rPr>
          <w:rFonts w:ascii="Arial Narrow" w:hAnsi="Arial Narrow"/>
          <w:sz w:val="24"/>
          <w:szCs w:val="24"/>
        </w:rPr>
        <w:t xml:space="preserve"> como la flexibilidad ante la auditoria sobre el contenido de los documentos aportados, información financiera y o cumplimiento de las políticas contables, determinándose como responsabilidad exclusiva del deudor y su contador o revisor fiscal. Lo anterior, sin perjuicio que en el auto admisorio de la </w:t>
      </w:r>
      <w:r w:rsidR="00383493" w:rsidRPr="001055E7">
        <w:rPr>
          <w:rFonts w:ascii="Arial Narrow" w:hAnsi="Arial Narrow"/>
          <w:sz w:val="24"/>
          <w:szCs w:val="24"/>
        </w:rPr>
        <w:t>demanda</w:t>
      </w:r>
      <w:r w:rsidR="00EA45EC" w:rsidRPr="001055E7">
        <w:rPr>
          <w:rFonts w:ascii="Arial Narrow" w:hAnsi="Arial Narrow"/>
          <w:sz w:val="24"/>
          <w:szCs w:val="24"/>
        </w:rPr>
        <w:t xml:space="preserve"> el juez pueda requerir ampliación de la información contenida en los documentos aportados.</w:t>
      </w:r>
    </w:p>
    <w:p w14:paraId="5116B0AC" w14:textId="77777777" w:rsidR="001055E7" w:rsidRPr="001055E7" w:rsidRDefault="001055E7" w:rsidP="0066786B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9E8BC40" w14:textId="38355AF1" w:rsidR="00140DF1" w:rsidRPr="00421B1B" w:rsidRDefault="001055E7" w:rsidP="00140DF1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6786B">
        <w:rPr>
          <w:rFonts w:ascii="Arial Narrow" w:hAnsi="Arial Narrow"/>
          <w:b/>
          <w:bCs/>
          <w:sz w:val="24"/>
          <w:szCs w:val="24"/>
        </w:rPr>
        <w:t>Flexibilización en el pago de pequeños acreedores</w:t>
      </w:r>
      <w:r w:rsidRPr="0066786B">
        <w:rPr>
          <w:rFonts w:ascii="Arial Narrow" w:hAnsi="Arial Narrow"/>
          <w:b/>
          <w:bCs/>
          <w:sz w:val="24"/>
          <w:szCs w:val="24"/>
        </w:rPr>
        <w:t>:</w:t>
      </w:r>
      <w:r w:rsidRPr="001055E7">
        <w:rPr>
          <w:rFonts w:ascii="Arial Narrow" w:hAnsi="Arial Narrow"/>
          <w:sz w:val="24"/>
          <w:szCs w:val="24"/>
        </w:rPr>
        <w:t xml:space="preserve"> </w:t>
      </w:r>
      <w:r w:rsidRPr="001055E7">
        <w:rPr>
          <w:rFonts w:ascii="Arial Narrow" w:hAnsi="Arial Narrow"/>
          <w:sz w:val="24"/>
          <w:szCs w:val="24"/>
        </w:rPr>
        <w:t xml:space="preserve">el deudor podrá pagar anticipadamente a los acreedores laborales no vinculados y a los proveedores no vinculados, titulares de pequeñas acreencias sujetas al proceso de reorganización, que en su total no </w:t>
      </w:r>
      <w:r w:rsidRPr="001055E7">
        <w:rPr>
          <w:rFonts w:ascii="Arial Narrow" w:hAnsi="Arial Narrow"/>
          <w:sz w:val="24"/>
          <w:szCs w:val="24"/>
        </w:rPr>
        <w:lastRenderedPageBreak/>
        <w:t xml:space="preserve">superen el cinco por ciento (5%) del total del pasivo externo. </w:t>
      </w:r>
      <w:r w:rsidR="0066786B">
        <w:rPr>
          <w:rFonts w:ascii="Arial Narrow" w:hAnsi="Arial Narrow"/>
          <w:sz w:val="24"/>
          <w:szCs w:val="24"/>
        </w:rPr>
        <w:t xml:space="preserve">Para esto no se requerirá autorización del juez del concurso, pero si existe promotor, </w:t>
      </w:r>
      <w:r w:rsidR="0066786B" w:rsidRPr="0066786B">
        <w:rPr>
          <w:rFonts w:ascii="Arial Narrow" w:hAnsi="Arial Narrow"/>
          <w:sz w:val="24"/>
          <w:szCs w:val="24"/>
        </w:rPr>
        <w:t xml:space="preserve">deberá contarse con su recomendación e informar al juez dentro de los 5 días posteriores al pago </w:t>
      </w:r>
      <w:r w:rsidR="0066786B" w:rsidRPr="0066786B">
        <w:rPr>
          <w:rFonts w:ascii="Arial Narrow" w:hAnsi="Arial Narrow"/>
          <w:sz w:val="24"/>
          <w:szCs w:val="24"/>
        </w:rPr>
        <w:t xml:space="preserve">aportando la lista </w:t>
      </w:r>
      <w:r w:rsidR="0066786B" w:rsidRPr="00421B1B">
        <w:rPr>
          <w:rFonts w:ascii="Arial Narrow" w:hAnsi="Arial Narrow"/>
          <w:sz w:val="24"/>
          <w:szCs w:val="24"/>
        </w:rPr>
        <w:t>discriminada de los acreedores, su clase y la cuantía, así como los soportes correspondientes.</w:t>
      </w:r>
    </w:p>
    <w:p w14:paraId="68D7562D" w14:textId="77777777" w:rsidR="0066786B" w:rsidRPr="00421B1B" w:rsidRDefault="0066786B" w:rsidP="0066786B">
      <w:pPr>
        <w:pStyle w:val="Prrafodelista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1EE9502" w14:textId="35FC257A" w:rsidR="0066786B" w:rsidRPr="00DE004A" w:rsidRDefault="0066786B" w:rsidP="00140DF1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C1AF6">
        <w:rPr>
          <w:rFonts w:ascii="Arial Narrow" w:hAnsi="Arial Narrow"/>
          <w:b/>
          <w:bCs/>
          <w:sz w:val="24"/>
          <w:szCs w:val="24"/>
        </w:rPr>
        <w:t>Mecanismos de alivio financiero y reactivación empresarial</w:t>
      </w:r>
      <w:r w:rsidRPr="00DC1AF6">
        <w:rPr>
          <w:rFonts w:ascii="Arial Narrow" w:hAnsi="Arial Narrow"/>
          <w:b/>
          <w:bCs/>
          <w:sz w:val="24"/>
          <w:szCs w:val="24"/>
        </w:rPr>
        <w:t>:</w:t>
      </w:r>
      <w:r w:rsidRPr="00421B1B">
        <w:rPr>
          <w:rFonts w:ascii="Arial Narrow" w:hAnsi="Arial Narrow"/>
          <w:sz w:val="24"/>
          <w:szCs w:val="24"/>
        </w:rPr>
        <w:t xml:space="preserve"> </w:t>
      </w:r>
      <w:r w:rsidRPr="00421B1B">
        <w:rPr>
          <w:rFonts w:ascii="Arial Narrow" w:hAnsi="Arial Narrow"/>
          <w:sz w:val="24"/>
          <w:szCs w:val="24"/>
        </w:rPr>
        <w:t>se podrán incluir disposiciones que flexibilicen los plazos de pago de las obligaciones, pagos a los acreedores distintas clases de forma simultánea o sucesiva y mecanismos alivio financiero y reactivación empresarial que cumplan con las condiciones</w:t>
      </w:r>
      <w:r w:rsidRPr="00421B1B">
        <w:rPr>
          <w:rFonts w:ascii="Arial Narrow" w:hAnsi="Arial Narrow"/>
          <w:sz w:val="24"/>
          <w:szCs w:val="24"/>
        </w:rPr>
        <w:t xml:space="preserve"> para tal efecto, conforme al articulo 4 del decreto 560 de 2020.</w:t>
      </w:r>
    </w:p>
    <w:p w14:paraId="36F82BA3" w14:textId="77777777" w:rsidR="00DE004A" w:rsidRPr="00DE004A" w:rsidRDefault="00DE004A" w:rsidP="00DE004A">
      <w:pPr>
        <w:pStyle w:val="Prrafodelista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53680CE" w14:textId="5844F563" w:rsidR="00DE004A" w:rsidRPr="00DE004A" w:rsidRDefault="00DE004A" w:rsidP="00140DF1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C1AF6">
        <w:rPr>
          <w:b/>
          <w:bCs/>
        </w:rPr>
        <w:t>Estímulos a la financiación del deudor durante la negociación de un acuerdo de reorganización</w:t>
      </w:r>
      <w:r w:rsidRPr="00DC1AF6">
        <w:rPr>
          <w:b/>
          <w:bCs/>
        </w:rPr>
        <w:t>:</w:t>
      </w:r>
      <w:r>
        <w:t xml:space="preserve"> Entre </w:t>
      </w:r>
      <w:r>
        <w:t>el inicio del proceso de reorganización y la confirmación del acuerdo de reorganización</w:t>
      </w:r>
      <w:r>
        <w:t xml:space="preserve"> </w:t>
      </w:r>
      <w:r>
        <w:t xml:space="preserve">concursado podrá obtener crédito para </w:t>
      </w:r>
      <w:r>
        <w:t xml:space="preserve">el </w:t>
      </w:r>
      <w:r>
        <w:t xml:space="preserve">desarrollo del giro ordinario de sus negocios durante la negociación. </w:t>
      </w:r>
      <w:r>
        <w:t xml:space="preserve">Estas </w:t>
      </w:r>
      <w:r>
        <w:t>obligaciones tendrán la preferencia prevista en artículo 71 de la Ley 1116 2006</w:t>
      </w:r>
      <w:r>
        <w:t>.</w:t>
      </w:r>
    </w:p>
    <w:p w14:paraId="1261DEB3" w14:textId="77777777" w:rsidR="00DE004A" w:rsidRPr="00DE004A" w:rsidRDefault="00DE004A" w:rsidP="00DE004A">
      <w:pPr>
        <w:pStyle w:val="Prrafodelista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886B1DA" w14:textId="0EF4A09B" w:rsidR="00DE004A" w:rsidRDefault="00DE004A" w:rsidP="00DE004A">
      <w:pPr>
        <w:pStyle w:val="Prrafodelista"/>
        <w:jc w:val="both"/>
      </w:pPr>
      <w:r>
        <w:t xml:space="preserve">En caso de que el concursado </w:t>
      </w:r>
      <w:r>
        <w:t>demuestre al juez del concurso que no logró obtener nueva financiación para el desarrollo del giro ordinario de sus negocios en las condiciones anteriores, podrá solicitar autorización para obtenerla</w:t>
      </w:r>
      <w:r>
        <w:t xml:space="preserve"> de conformidad con los apartes del inciso 2 del </w:t>
      </w:r>
      <w:r w:rsidR="00DC1AF6">
        <w:t>artículo</w:t>
      </w:r>
      <w:r w:rsidR="00F563FE">
        <w:t xml:space="preserve"> 5 del </w:t>
      </w:r>
      <w:r>
        <w:t>decreto en mención</w:t>
      </w:r>
      <w:r w:rsidR="00F563FE">
        <w:t>.</w:t>
      </w:r>
      <w:r>
        <w:t xml:space="preserve"> </w:t>
      </w:r>
    </w:p>
    <w:p w14:paraId="59C21B6C" w14:textId="77777777" w:rsidR="00496676" w:rsidRDefault="00496676" w:rsidP="00DE004A">
      <w:pPr>
        <w:pStyle w:val="Prrafodelista"/>
        <w:jc w:val="both"/>
      </w:pPr>
    </w:p>
    <w:p w14:paraId="49AECD53" w14:textId="10CE7A9B" w:rsidR="00414A77" w:rsidRPr="00414A77" w:rsidRDefault="00414A77" w:rsidP="00414A7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496676">
        <w:rPr>
          <w:b/>
          <w:bCs/>
        </w:rPr>
        <w:t>Preservación de la empresa, el empleo y el acuerdo de reorganización</w:t>
      </w:r>
      <w:r w:rsidRPr="00496676">
        <w:rPr>
          <w:b/>
          <w:bCs/>
        </w:rPr>
        <w:t>:</w:t>
      </w:r>
      <w:r>
        <w:t xml:space="preserve"> </w:t>
      </w:r>
      <w:r>
        <w:t>Las cuotas de los acuerdos de reorganización en ejecución correspondientes a los meses de abril, mayo y junio del año 2020, de los deudores afectados por las causas</w:t>
      </w:r>
      <w:r>
        <w:t xml:space="preserve"> que</w:t>
      </w:r>
      <w:r>
        <w:t xml:space="preserve"> motivaron </w:t>
      </w:r>
      <w:r>
        <w:t xml:space="preserve">la </w:t>
      </w:r>
      <w:r>
        <w:t xml:space="preserve">declaratoria del </w:t>
      </w:r>
      <w:r>
        <w:t xml:space="preserve">Estado de </w:t>
      </w:r>
      <w:r>
        <w:t xml:space="preserve">Emergencia Económica, Social y Ecológica de que trata </w:t>
      </w:r>
      <w:r>
        <w:t xml:space="preserve">el </w:t>
      </w:r>
      <w:r>
        <w:t>Decreto 417 del 17 de marzo de 2020</w:t>
      </w:r>
      <w:r>
        <w:t xml:space="preserve">, </w:t>
      </w:r>
      <w:r>
        <w:t>no se considerarán vencidas sino a partir del mes de julio del mismo año.</w:t>
      </w:r>
    </w:p>
    <w:p w14:paraId="0CCB785A" w14:textId="68877273" w:rsidR="00346853" w:rsidRDefault="00414A77" w:rsidP="007E61A7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Aunado a lo anterior, encontramos que como medidas adicionales se adoptaron </w:t>
      </w:r>
      <w:r w:rsidR="00496676">
        <w:rPr>
          <w:rFonts w:ascii="Arial Narrow" w:hAnsi="Arial Narrow" w:cs="Arial"/>
          <w:color w:val="000000" w:themeColor="text1"/>
          <w:sz w:val="24"/>
          <w:szCs w:val="24"/>
        </w:rPr>
        <w:t xml:space="preserve">otros </w:t>
      </w:r>
      <w:r>
        <w:rPr>
          <w:rFonts w:ascii="Arial Narrow" w:hAnsi="Arial Narrow" w:cs="Arial"/>
          <w:color w:val="000000" w:themeColor="text1"/>
          <w:sz w:val="24"/>
          <w:szCs w:val="24"/>
        </w:rPr>
        <w:t>mecanismos de insolvencia:</w:t>
      </w:r>
    </w:p>
    <w:p w14:paraId="53B4AC12" w14:textId="6E64BE6E" w:rsidR="00414A77" w:rsidRDefault="00414A77" w:rsidP="00496676">
      <w:pPr>
        <w:pStyle w:val="Prrafodelista"/>
        <w:numPr>
          <w:ilvl w:val="0"/>
          <w:numId w:val="3"/>
        </w:numPr>
        <w:jc w:val="both"/>
      </w:pPr>
      <w:r w:rsidRPr="00496676">
        <w:rPr>
          <w:b/>
          <w:bCs/>
        </w:rPr>
        <w:t>Negociación de emergencia de acuerdos de reorganización</w:t>
      </w:r>
      <w:r w:rsidRPr="00496676">
        <w:rPr>
          <w:b/>
          <w:bCs/>
        </w:rPr>
        <w:t>:</w:t>
      </w:r>
      <w:r>
        <w:t xml:space="preserve"> procedimiento que permite llegar a un acuerdo en un termino no superior a 3 meses contados a partir de la admisión del proceso de insolvencia.</w:t>
      </w:r>
    </w:p>
    <w:p w14:paraId="29EA7221" w14:textId="77777777" w:rsidR="00496676" w:rsidRDefault="00496676" w:rsidP="00496676">
      <w:pPr>
        <w:pStyle w:val="Prrafodelista"/>
        <w:jc w:val="both"/>
      </w:pPr>
    </w:p>
    <w:p w14:paraId="144C2FC0" w14:textId="06B32197" w:rsidR="00414A77" w:rsidRPr="00496676" w:rsidRDefault="00414A77" w:rsidP="0049667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496676">
        <w:rPr>
          <w:b/>
          <w:bCs/>
        </w:rPr>
        <w:t xml:space="preserve">Procedimientos </w:t>
      </w:r>
      <w:r w:rsidR="00FF21C5" w:rsidRPr="00496676">
        <w:rPr>
          <w:b/>
          <w:bCs/>
        </w:rPr>
        <w:t>recuperación</w:t>
      </w:r>
      <w:r w:rsidRPr="00496676">
        <w:rPr>
          <w:b/>
          <w:bCs/>
        </w:rPr>
        <w:t xml:space="preserve"> empresarial en las cámaras de comercio</w:t>
      </w:r>
      <w:r w:rsidRPr="00496676">
        <w:rPr>
          <w:b/>
          <w:bCs/>
        </w:rPr>
        <w:t>:</w:t>
      </w:r>
      <w:r>
        <w:t xml:space="preserve"> </w:t>
      </w:r>
      <w:r w:rsidR="00FF21C5">
        <w:t xml:space="preserve">con el </w:t>
      </w:r>
      <w:r w:rsidR="0031498D">
        <w:t>ánimo</w:t>
      </w:r>
      <w:r w:rsidR="00FF21C5">
        <w:t xml:space="preserve"> de contar con mayor capacidad </w:t>
      </w:r>
      <w:r w:rsidR="00FF21C5">
        <w:t>y cobertura y así atender a deudores afectados por las causas que motivaron la declaratoria del de Emergencia</w:t>
      </w:r>
      <w:r w:rsidR="00FF21C5">
        <w:t xml:space="preserve">, la Cámara de comercio con jurisdicción territorial en el domicilio del deudor, </w:t>
      </w:r>
      <w:r w:rsidR="00FF21C5">
        <w:t xml:space="preserve">podrá adelantar procedimientos de recuperación empresarial para su posterior validación judicial, respecto de los deudores sujetos régimen insolvencia previsto en la Ley 1116 de 2006 y personas excluidas del régimen de insolvencia relacionadas en el artículo 3 del mismo régimen, siempre </w:t>
      </w:r>
      <w:r w:rsidR="00FF21C5">
        <w:t xml:space="preserve">que </w:t>
      </w:r>
      <w:r w:rsidR="00FF21C5">
        <w:t>no</w:t>
      </w:r>
      <w:r w:rsidR="00FF21C5">
        <w:t xml:space="preserve"> estén</w:t>
      </w:r>
      <w:r w:rsidR="00FF21C5">
        <w:t xml:space="preserve"> sujetas de manera obligatoria a un régimen especial de recuperación de negocios o no tengan un régimen de recuperación.</w:t>
      </w:r>
    </w:p>
    <w:p w14:paraId="14422BF4" w14:textId="35567C55" w:rsidR="004276F1" w:rsidRPr="001055E7" w:rsidRDefault="00FC63E4" w:rsidP="004276F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La finali</w:t>
      </w:r>
      <w:r w:rsidR="004276F1" w:rsidRPr="001055E7">
        <w:rPr>
          <w:rFonts w:ascii="Arial Narrow" w:hAnsi="Arial Narrow"/>
          <w:sz w:val="24"/>
          <w:szCs w:val="24"/>
        </w:rPr>
        <w:t xml:space="preserve">dad </w:t>
      </w:r>
      <w:r w:rsidR="005911B6">
        <w:rPr>
          <w:rFonts w:ascii="Arial Narrow" w:hAnsi="Arial Narrow"/>
          <w:sz w:val="24"/>
          <w:szCs w:val="24"/>
        </w:rPr>
        <w:t xml:space="preserve">de esta norma no es otra que ampliar los mecanismos ordinarios y </w:t>
      </w:r>
      <w:r w:rsidR="004276F1" w:rsidRPr="001055E7">
        <w:rPr>
          <w:rFonts w:ascii="Arial Narrow" w:hAnsi="Arial Narrow"/>
          <w:sz w:val="24"/>
          <w:szCs w:val="24"/>
        </w:rPr>
        <w:t>extraordinarios de salvamento y recuperación</w:t>
      </w:r>
      <w:r w:rsidR="005911B6">
        <w:rPr>
          <w:rFonts w:ascii="Arial Narrow" w:hAnsi="Arial Narrow"/>
          <w:sz w:val="24"/>
          <w:szCs w:val="24"/>
        </w:rPr>
        <w:t xml:space="preserve"> de</w:t>
      </w:r>
      <w:r w:rsidR="004276F1" w:rsidRPr="001055E7">
        <w:rPr>
          <w:rFonts w:ascii="Arial Narrow" w:hAnsi="Arial Narrow"/>
          <w:sz w:val="24"/>
          <w:szCs w:val="24"/>
        </w:rPr>
        <w:t xml:space="preserve"> las empresas afectadas por las causas que motivaron la declaratoria del Estado de Emergencia Económica, Social y de que trata el Decreto 417 del 17 de marzo de 2020, y la recuperación y conservación de la empresa como unidad de explotación económica y fuente generadora de empleo, a través de </w:t>
      </w:r>
      <w:r w:rsidR="008B763E">
        <w:rPr>
          <w:rFonts w:ascii="Arial Narrow" w:hAnsi="Arial Narrow"/>
          <w:sz w:val="24"/>
          <w:szCs w:val="24"/>
        </w:rPr>
        <w:t>la modificación de procedimientos y adopción de nuevos mecanismos para tal efecto</w:t>
      </w:r>
      <w:r w:rsidR="005911B6">
        <w:rPr>
          <w:rFonts w:ascii="Arial Narrow" w:hAnsi="Arial Narrow"/>
          <w:sz w:val="24"/>
          <w:szCs w:val="24"/>
        </w:rPr>
        <w:t>.</w:t>
      </w:r>
    </w:p>
    <w:p w14:paraId="24BE90AE" w14:textId="77777777" w:rsidR="004276F1" w:rsidRPr="001055E7" w:rsidRDefault="004276F1" w:rsidP="004276F1">
      <w:pPr>
        <w:rPr>
          <w:rFonts w:ascii="Arial Narrow" w:hAnsi="Arial Narrow"/>
          <w:sz w:val="24"/>
          <w:szCs w:val="24"/>
        </w:rPr>
      </w:pPr>
    </w:p>
    <w:p w14:paraId="204224F8" w14:textId="77777777" w:rsidR="004276F1" w:rsidRPr="001055E7" w:rsidRDefault="004276F1">
      <w:pPr>
        <w:rPr>
          <w:rFonts w:ascii="Arial Narrow" w:hAnsi="Arial Narrow"/>
          <w:sz w:val="24"/>
          <w:szCs w:val="24"/>
        </w:rPr>
      </w:pPr>
    </w:p>
    <w:sectPr w:rsidR="004276F1" w:rsidRPr="00105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268"/>
    <w:multiLevelType w:val="hybridMultilevel"/>
    <w:tmpl w:val="B48E49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34A3B"/>
    <w:multiLevelType w:val="multilevel"/>
    <w:tmpl w:val="1BB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91DE5"/>
    <w:multiLevelType w:val="hybridMultilevel"/>
    <w:tmpl w:val="62FCD9B4"/>
    <w:lvl w:ilvl="0" w:tplc="E25A1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F1"/>
    <w:rsid w:val="001055E7"/>
    <w:rsid w:val="00140DF1"/>
    <w:rsid w:val="00213ADC"/>
    <w:rsid w:val="00263DBC"/>
    <w:rsid w:val="0031498D"/>
    <w:rsid w:val="0034157F"/>
    <w:rsid w:val="00346853"/>
    <w:rsid w:val="00383493"/>
    <w:rsid w:val="00414A77"/>
    <w:rsid w:val="00421B1B"/>
    <w:rsid w:val="004276F1"/>
    <w:rsid w:val="00496676"/>
    <w:rsid w:val="00496BEC"/>
    <w:rsid w:val="004A45DF"/>
    <w:rsid w:val="004B0B91"/>
    <w:rsid w:val="00555173"/>
    <w:rsid w:val="005911B6"/>
    <w:rsid w:val="0066394C"/>
    <w:rsid w:val="0066786B"/>
    <w:rsid w:val="007E61A7"/>
    <w:rsid w:val="008B763E"/>
    <w:rsid w:val="00940E6D"/>
    <w:rsid w:val="00B50201"/>
    <w:rsid w:val="00BD7B15"/>
    <w:rsid w:val="00C1248F"/>
    <w:rsid w:val="00CB425C"/>
    <w:rsid w:val="00DC1AF6"/>
    <w:rsid w:val="00DE004A"/>
    <w:rsid w:val="00EA45EC"/>
    <w:rsid w:val="00EF1610"/>
    <w:rsid w:val="00F563FE"/>
    <w:rsid w:val="00F92F50"/>
    <w:rsid w:val="00FC63E4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BD2E"/>
  <w15:chartTrackingRefBased/>
  <w15:docId w15:val="{791DA4F9-F4D1-4274-901A-854D13B6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14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30</cp:revision>
  <dcterms:created xsi:type="dcterms:W3CDTF">2020-04-20T16:08:00Z</dcterms:created>
  <dcterms:modified xsi:type="dcterms:W3CDTF">2020-04-20T21:37:00Z</dcterms:modified>
</cp:coreProperties>
</file>